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138"/>
      </w:tblGrid>
      <w:tr>
        <w:trPr>
          <w:trHeight w:val="9751" w:hRule="exact"/>
        </w:trPr>
        <w:tc>
          <w:tcPr>
            <w:tcW w:type="dxa" w:w="15138"/>
            <w:shd w:val="clear" w:color="auto" w:fill="0B1F4B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807549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sentec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549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120" w:before="0"/>
            </w:pPr>
            <w:r>
              <w:rPr>
                <w:b/>
                <w:color w:val="D9A41E"/>
                <w:sz w:val="24"/>
              </w:rPr>
              <w:t>PRÉSENTATION DES SOLUTIONS</w:t>
            </w:r>
          </w:p>
          <w:p>
            <w:pPr>
              <w:spacing w:after="40" w:before="0"/>
            </w:pPr>
            <w:r>
              <w:rPr>
                <w:b/>
                <w:color w:val="FFFFFF"/>
                <w:sz w:val="68"/>
              </w:rPr>
              <w:t>Services informatiques &amp; numériques</w:t>
            </w:r>
          </w:p>
          <w:p>
            <w:pPr>
              <w:spacing w:after="280" w:before="0"/>
            </w:pPr>
            <w:r>
              <w:rPr>
                <w:b w:val="0"/>
                <w:color w:val="FFFFFF"/>
                <w:sz w:val="44"/>
              </w:rPr>
              <w:t>pour les entreprises et institutions en RDC</w:t>
            </w:r>
          </w:p>
          <w:p>
            <w:pPr>
              <w:spacing w:after="800" w:before="0"/>
            </w:pPr>
            <w:r>
              <w:rPr>
                <w:b w:val="0"/>
                <w:color w:val="FFFFFF"/>
                <w:sz w:val="24"/>
              </w:rPr>
              <w:t>22 solutions détaillées, avec cas d’utilisation : infrastructure, cybersécurité, logiciels métiers, IoT &amp; énergie, équipements, formations.</w:t>
            </w:r>
          </w:p>
          <w:p>
            <w:pPr>
              <w:spacing w:after="40" w:before="0"/>
            </w:pPr>
            <w:r>
              <w:rPr>
                <w:b w:val="0"/>
                <w:color w:val="D9A41E"/>
                <w:sz w:val="20"/>
              </w:rPr>
              <w:t>22 Avenue Colonel Ebeya, Immeuble Pacha, 1er niveau (réf. Hôtel Memling), Gombe, Kinshasa</w:t>
            </w:r>
          </w:p>
          <w:p>
            <w:pPr>
              <w:spacing w:after="600" w:before="0"/>
            </w:pPr>
            <w:r>
              <w:rPr>
                <w:b w:val="0"/>
                <w:color w:val="FFFFFF"/>
                <w:sz w:val="20"/>
              </w:rPr>
              <w:t>+243 82 222 33 73  ·  +243 84 059 94 49  ·  info@sentechrdc.com  ·  www.sentechrdc.com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138"/>
      </w:tblGrid>
      <w:tr>
        <w:tc>
          <w:tcPr>
            <w:tcW w:type="dxa" w:w="15137"/>
            <w:shd w:val="clear" w:color="auto" w:fill="0B1F4B"/>
          </w:tcPr>
          <w:p>
            <w:pPr>
              <w:spacing w:after="40" w:before="0"/>
            </w:pPr>
            <w:r>
              <w:rPr>
                <w:b/>
                <w:color w:val="FFFFFF"/>
                <w:sz w:val="44"/>
              </w:rPr>
              <w:t>Qui sommes-nous</w:t>
            </w:r>
          </w:p>
          <w:p>
            <w:pPr>
              <w:spacing w:after="80" w:before="0"/>
            </w:pPr>
            <w:r>
              <w:rPr>
                <w:b w:val="0"/>
                <w:color w:val="D9A41E"/>
                <w:sz w:val="22"/>
              </w:rPr>
              <w:t>Votre partenaire technologique à Kinshasa</w:t>
            </w:r>
          </w:p>
        </w:tc>
      </w:tr>
    </w:tbl>
    <w:p>
      <w:pPr>
        <w:spacing w:after="80" w:before="0"/>
      </w:pPr>
    </w:p>
    <w:p>
      <w:pPr>
        <w:spacing w:after="200" w:before="0"/>
      </w:pPr>
      <w:r>
        <w:rPr>
          <w:b w:val="0"/>
          <w:color w:val="444C5C"/>
          <w:sz w:val="22"/>
        </w:rPr>
        <w:t>SENTECH RDC, basée à Gombe (Kinshasa), accompagne les entreprises, banques, institutions publiques, ONG, opérateurs télécoms et sociétés minières dans la conception, le déploiement et la maintenance de leurs systèmes informatiques et numériques. Notre approche : comprendre votre métier, identifier les points faibles, puis proposer une solution claire, mise en œuvre par une équipe locale et réactive.</w:t>
      </w:r>
    </w:p>
    <w:p>
      <w:pPr>
        <w:spacing w:after="80" w:before="0"/>
      </w:pPr>
      <w:r>
        <w:rPr>
          <w:b/>
          <w:color w:val="0B1F4B"/>
          <w:sz w:val="28"/>
        </w:rPr>
        <w:t>Sommaire des solutions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Infrastructure &amp; Support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01. Infogérance informatique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02. Support technique &amp; Helpdesk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03. Réseaux LAN &amp; WAN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04. Téléphonie &amp; VoIP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05. Cloud &amp; Virtualisation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06. Solutions Data Centers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IoT, Industrie &amp; Énergie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16. Solutions IoT &amp; Intégration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17. Solutions IT Mines &amp; Industries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18. Énergie de secours pour votre IT</w:t>
            </w:r>
          </w:p>
          <w:p>
            <w:pPr>
              <w:spacing w:after="80" w:before="0"/>
            </w:pPr>
          </w:p>
        </w:tc>
        <w:tc>
          <w:tcPr>
            <w:tcW w:type="dxa" w:w="5046"/>
          </w:tcPr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Cybersécurité &amp; Données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07. Cybersécurité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08. Sauvegarde &amp; Reprise d’activité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09. Destruction de matériel informatique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10. Archivage numérique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Équipements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19. Location d’imprimantes</w:t>
            </w:r>
          </w:p>
          <w:p>
            <w:pPr>
              <w:spacing w:after="80" w:before="0"/>
            </w:pPr>
          </w:p>
        </w:tc>
        <w:tc>
          <w:tcPr>
            <w:tcW w:type="dxa" w:w="5046"/>
          </w:tcPr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Logiciels &amp; Digital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11. Gestion des courriers entrants &amp; sortants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12. Développement logiciel Web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13. Applications mobiles Android &amp; iOS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14. Logiciel SYSCOHADA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15. Logiciel SYCEBNL (ONG &amp; projets)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0EA5C6"/>
                <w:sz w:val="21"/>
              </w:rPr>
              <w:t>Formations &amp; Certifications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20. Formations IT &amp; bureautique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21. Certifications PECB</w:t>
            </w:r>
          </w:p>
          <w:p>
            <w:pPr>
              <w:spacing w:after="20" w:before="0"/>
            </w:pPr>
            <w:r>
              <w:rPr>
                <w:b w:val="0"/>
                <w:color w:val="444C5C"/>
                <w:sz w:val="19"/>
              </w:rPr>
              <w:t>22. Formation en gestion</w:t>
            </w:r>
          </w:p>
          <w:p>
            <w:pPr>
              <w:spacing w:after="80" w:before="0"/>
            </w:pP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01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Infogérance informatique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Votre service informatique complet, sans recruter.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geranc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Coûts informatiques prévisibles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Moins d’arrêts de production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La direction se concentre sur son métier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www.sentechrdc.com/services/infogerance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Beaucoup d'entreprises à Kinshasa n'ont pas d'équipe IT : pannes réglées dans l'urgence, postes non mis à jour, aucun inventaire du parc.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SENTECH prend en charge l'ensemble de votre parc : postes, serveurs, réseau, messagerie et sécurité, avec un interlocuteur unique et des interventions planifiées.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Inventaire et documentation du parc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Maintenance préventive et mises à jour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Supervision des serveurs et du réseau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Rapport mensuel d’activité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PME de distribution, 40 postes, Gombe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pannes bloquent la facturation plusieurs fois par mois et personne n'est responsable de l'informatique.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Un contrat d’infogérance avec visites planifiées, support à distance et un plan de renouvellement du matériel.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02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Support technique &amp; Helpdesk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Un technicien qui répond quand vos équipes sont bloquées.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pport-helpdesk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Utilisateurs dépannés plus vite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Traçabilité de chaque incident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Productivité préservée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www.sentechrdc.com/services/support-helpdesk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utilisateurs perdent des heures sur des problèmes simples : imprimante, messagerie, mot de passe, lenteur du poste.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Un helpdesk avec prise de tickets, assistance à distance et intervention sur site à Kinshasa selon le niveau de service choisi.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Ticketing et suivi des demandes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Assistance à distance sécurisée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Intervention sur site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Niveaux de service (SLA) contractuels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Cabinet d’audit, 25 collaborateurs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Chaque problème informatique passe par un collaborateur « débrouillard » qui abandonne son travail.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Un numéro et une adresse uniques pour toutes les demandes, avec un historique consultable par la direction.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03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Réseaux LAN &amp; WAN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Un réseau stable entre vos bureaux, vos agences et vos sites.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eaux-lan-wa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Applications accessibles partout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Sécurité des flux entre sites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Réseau documenté et évolutif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www.sentechrdc.com/services/reseaux-lan-wan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Câblage désordonné, Wi-Fi instable, agences mal reliées au siège : les applications deviennent lentes ou inaccessibles.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Audit, conception et déploiement de réseaux câblés et Wi-Fi professionnels, interconnexion sécurisée des sites par VPN et supervision.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Câblage structuré et baies de brassage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Wi-Fi professionnel multi-points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VPN inter-sites sécurisé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Segmentation (VLAN) et pare-feu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Institution de microfinance avec agences en provinces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agences saisissent les opérations hors ligne puis les ressaisissent au siège.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Une architecture d’interconnexion sécurisée entre agences et siège, avec supervision des liaisons.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04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Téléphonie &amp; VoIP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Plus aucun appel client perdu.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lecom-voip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Image professionnelle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Appels mieux répartis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Communication interne simplifiée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www.sentechrdc.com/services/telecom-voip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appels arrivent sur des téléphones personnels, sans standard ni transfert : des clients et des marchés sont perdus.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Standard téléphonique IP avec postes, accueil vocal, files d’attente, transferts et applications mobiles pour les collaborateurs.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Standard IP et accueil vocal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Transferts et groupes d’appels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Postes fixes et softphones mobiles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Journal des appels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Agence de voyage, 2 bureaux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clients rappellent plusieurs fois sans réussir à joindre le bon service.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Un numéro unique avec menu vocal et répartition des appels entre les deux bureaux.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05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Cloud &amp; Virtualisation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Moins de serveurs physiques, plus de disponibilité.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ud-virtualisation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Moins de matériel à maintenir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Travail à distance facilité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Reprise plus rapide après incident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www.sentechrdc.com/services/cloud-virtualisation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Des serveurs vieillissants, un par application, difficiles à sauvegarder et coûteux à maintenir.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Consolidation des serveurs en machines virtuelles, migration vers le cloud quand c’est pertinent et messagerie professionnelle hébergée.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Virtualisation (hyperviseurs professionnels)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Migration Microsoft 365 / cloud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Haute disponibilité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Accès distant sécurisé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ONG internationale, bureau de Kinshasa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 serveur de fichiers unique tombe en panne et bloque tout le bureau.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Migration des fichiers et de la messagerie vers le cloud, accès sécurisé pour le personnel terrain.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06  ·  INFRASTRUCTURE &amp; SUPPORT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Solutions Data Centers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Une salle serveur conçue pour durer.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ta-centers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Équipements protégés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Continuité de service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Conformité aux exigences d’audit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www.sentechrdc.com/services/data-centers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Salles serveurs surchauffées, sans onduleur adapté ni contrôle d’accès : chaque coupure met les données en danger.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Conception et aménagement de salles serveurs : baies, climatisation, alimentation secourue, contrôle d’accès et supervision environnementale.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Étude et plan d’aménagement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Onduleurs et alimentation secourue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Climatisation et capteurs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Contrôle d’accès et câblage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Banque commerciale, salle technique du siège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La température de la salle monte lors des coupures et les équipements s’arrêtent.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Réaménagement de la salle avec alimentation secourue, refroidissement et alertes de température.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07  ·  CYBERSÉCURITÉ &amp; DONNÉES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Cybersécurité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Protéger vos données avant l’incident, pas après.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ybersecurit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Risques identifiés et priorisés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Données clients protégées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Personnel vigilant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www.sentechrdc.com/services/cybersecurite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Virus, rançongiciels, comptes piratés et fraudes par email touchent les entreprises congolaises, souvent sans protection adaptée.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Audit de sécurité, tests de pénétration, pare-feu, antivirus centralisé, sécurisation de la messagerie et sensibilisation du personnel.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Audit et test de pénétration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Pare-feu et filtrage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Protection des postes centralisée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Sensibilisation au phishing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Société de télécommunications, direction financière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Un faux email de fournisseur a failli entraîner un virement frauduleux.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Audit, renforcement de la messagerie, double validation et formation des équipes concernées.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08  ·  CYBERSÉCURITÉ &amp; DONNÉES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Sauvegarde &amp; Reprise d’activité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Vos données récupérables, même après le pire.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uvegarde-backup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Données récupérables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Résistance aux rançongiciels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Sérénité de la direction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www.sentechrdc.com/services/sauvegarde-backup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sauvegardes sont manuelles, sur disque USB, jamais testées : un vol ou un rançongiciel peut tout effacer.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Sauvegarde automatique locale et externalisée, chiffrée, avec tests de restauration réguliers et plan de reprise d’activité.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Sauvegarde automatisée 3-2-1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Copie externalisée chiffrée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Tests de restauration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Plan de reprise documenté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Clinique privée, dossiers patients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Toutes les données sont sur un seul serveur sans copie hors site.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Sauvegarde quotidienne automatique, copie externalisée et procédure de restauration testée.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09  ·  CYBERSÉCURITÉ &amp; DONNÉES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Destruction de matériel informatique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Vos anciens disques ne doivent pas parler.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struction-materiel-informatiqu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Confidentialité garantie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Preuve pour les audits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Gestion responsable du matériel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www.sentechrdc.com/services/destruction-materiel-informatique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ordinateurs réformés sont revendus ou stockés avec des données sensibles encore lisibles.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Effacement sécurisé ou destruction physique des supports, avec procès-verbal et inventaire des équipements traités.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Collecte sur site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Effacement sécurisé des disques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Destruction physique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Procès-verbal de destruction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Banque renouvelant son parc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Des centaines de postes réformés contiennent des données clients.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Inventaire, destruction traçable et certificat remis au service conformité.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10  ·  CYBERSÉCURITÉ &amp; DONNÉES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Archivage numérique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Retrouver un document en secondes, pas en jours.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hivage-numeriqu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Gain de temps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Archives protégées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Moins d’espace de stockage physique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www.sentechrdc.com/services/archivage-numerique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Des tonnes d’archives papier, exposées à l’humidité et aux pertes, impossibles à consulter rapidement.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Numérisation, indexation et gestion électronique des documents (GED) avec droits d’accès et recherche plein texte.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Numérisation en volume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Indexation et classement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Recherche rapide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Droits d’accès par service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Administration publique, service du personnel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Retrouver un dossier d’agent prend plusieurs jours de recherche.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Dossiers numérisés, indexés et consultables selon les droits de chaque agent.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11  ·  LOGICIELS &amp; DIGITAL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Gestion des courriers entrants &amp; sortants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Chaque courrier tracé, du dépôt à la réponse.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331199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estion-courriers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331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Traçabilité totale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Délais de réponse maîtrisés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Responsabilités claires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www.sentechrdc.com/services/gestion-courriers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Courriers égarés, délais de réponse inconnus, aucune preuve de transmission entre services.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Logiciel d’enregistrement, de numérisation et de circulation des courriers avec workflow, imputation, relances et historique complet.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Enregistrement et numérotation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Imputation et workflow de validation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Relances et délais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Historique et tableaux de bord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Ministère ou établissement public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 secrétariat ne sait pas où se trouve un courrier transmis la semaine précédente.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Chaque courrier est enregistré, imputé et suivi jusqu’à sa réponse, avec alertes de retard.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12  ·  LOGICIELS &amp; DIGITAL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Développement logiciel Web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Des outils sur mesure qui remplacent Excel et le papier.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veloppement-web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Processus automatisés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Données centralisées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Image de marque renforcée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www.sentechrdc.com/services/developpement-web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Processus gérés sur des fichiers Excel dispersés, sites web absents ou obsolètes, aucune donnée fiable pour décider.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Sites institutionnels, portails clients et applications métiers sur mesure : demandes, stocks, RH, suivi de projets.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Sites web professionnels et SEO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Applications métiers sur mesure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Tableaux de bord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Hébergement et maintenance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Entreprise de logistique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demandes clients arrivent par téléphone et WhatsApp, sans suivi.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Portail de demandes avec suivi en ligne et tableau de bord pour la direction.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13  ·  LOGICIELS &amp; DIGITAL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Applications mobiles Android &amp; iOS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Vos équipes terrain connectées au siège.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veloppement-mobil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Données terrain fiables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Délais réduits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Suivi en temps réel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www.sentechrdc.com/services/developpement-mobile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agents terrain notent sur papier, les données arrivent tard et avec des erreurs.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Applications mobiles de collecte, de vente ou de service client, fonctionnant aussi hors connexion avec synchronisation.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Android et iOS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Mode hors connexion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Photos, GPS et signatures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Synchronisation avec le siège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Projet agricole financé par un bailleur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enquêtes terrain sont saisies deux fois et prennent des semaines.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Application de collecte hors ligne avec synchronisation et tableau de suivi.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14  ·  LOGICIELS &amp; DIGITAL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Logiciel SYSCOHADA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Une comptabilité conforme OHADA, prête pour l’audit.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iciel-syscohada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Conformité OHADA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Clôtures accélérées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Pilotage financier fiable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www.sentechrdc.com/services/logiciel-syscohada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Comptabilité tenue sur tableur, états financiers longs à produire et difficiles à justifier.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Mise en place d’un logiciel comptable conforme SYSCOHADA révisé : plan comptable, journaux, états financiers, paramétrage et formation.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Plan comptable SYSCOHADA révisé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Journaux et rapprochements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États financiers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Formation des comptables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PME industrielle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La clôture annuelle prend des mois et l’auditeur relève des incohérences.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Comptabilité informatisée, paramétrée et des états financiers produits plus rapidement.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15  ·  LOGICIELS &amp; DIGITAL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Logiciel SYCEBNL (ONG &amp; projets)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Des rapports bailleurs justes, à chaque échéance.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iciel-sycebnl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Rapports fiables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Audits facilités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Confiance des bailleurs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www.sentechrdc.com/services/logiciel-sycebnl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ONG et projets financés jonglent entre plusieurs bailleurs, budgets et formats de rapports.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Logiciel conforme SYCEBNL avec suivi budgétaire par bailleur, par projet et par ligne, et rapports financiers adaptés.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Comptabilité SYCEBNL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Suivi multi-bailleurs et multi-projets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Contrôle budgétaire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Rapports financiers bailleurs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ONG avec trois financements simultanés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rapports trimestriels demandent des jours de retraitement manuel.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Suivi budgétaire par bailleur et rapports générés depuis une base unique.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16  ·  IOT, INDUSTRIE &amp; ÉNERGIE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Solutions IoT &amp; Intégration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Savoir ce qui se passe sur vos sites distants, en temps réel.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eaux-lan-wa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Interventions anticipées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Pertes réduites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Décisions basées sur des données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www.sentechrdc.com/solutions-iot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Pannes découvertes tard, pertes de carburant ou de stock, sites distants sans visibilité.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Capteurs industriels, collecte et transport sécurisé des données, intégration à vos systèmes et supervision 24/7 avec alertes.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Capteurs (niveau, température, énergie)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Transmission sécurisée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Plateforme de supervision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Alertes SMS / email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Opérateur de sites techniques en provinces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groupes électrogènes tombent en panne sans que le siège ne soit prévenu.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Supervision des niveaux et de l’alimentation avec alertes immédiates aux techniciens.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17  ·  IOT, INDUSTRIE &amp; ÉNERGIE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Solutions IT Mines &amp; Industries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L’informatique robuste pour les sites miniers et industriels.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geranc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Continuité opérationnelle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Sécurité des personnes et des biens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Un partenaire unique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www.sentechrdc.com/secteurs/mines-industries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Sites isolés, conditions difficiles, exigences de sécurité élevées et besoin de continuité permanente.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Réseaux industriels, salles techniques, supervision, sécurité, contrôle d’accès et support adaptés aux sites miniers et usines.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Réseaux et salles techniques de site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Contrôle d’accès et vidéosurveillance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Supervision IoT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Support et maintenance sur site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Société minière au Katanga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 site d’exploitation et la base vie dépendent d’un réseau fragile.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Étude et déploiement d’un réseau de site supervisé avec plan de maintenance.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18  ·  IOT, INDUSTRIE &amp; ÉNERGIE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Énergie de secours pour votre IT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Vos serveurs et bureaux alimentés malgré les coupures.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nergie-solaire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Continuité électrique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Matériel protégé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Dépendance au carburant réduite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www.sentechrdc.com/services/energie-solaire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coupures d’électricité arrêtent les serveurs, abîment le matériel et augmentent la facture de carburant.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Systèmes solaires hybrides avec onduleurs et batteries, dimensionnés pour vos équipements IT et bureaux.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Étude de consommation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Panneaux, onduleurs et batteries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Installation et mise en service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Maintenance et suivi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Siège d’entreprise à Gombe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 générateur tourne de longues heures chaque jour pour garder les serveurs allumés.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Système hybride qui alimente en priorité la salle serveur et les postes critiques.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19  ·  ÉQUIPEMENTS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Location d’imprimantes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Imprimer sans acheter, sans panne, sans surprise.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cation-imprimantes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Pas d’investissement initial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Coûts maîtrisés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Zéro souci de maintenance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www.sentechrdc.com/services/location-imprimantes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Imprimantes achetées puis abandonnées en panne, cartouches coûteuses, aucun suivi de consommation.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Location de multifonctions professionnelles avec maintenance, consommables et suivi d’utilisation inclus selon contrat.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Multifonctions professionnelles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Maintenance incluse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Livraison des consommables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Suivi des volumes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Cabinet d’avocats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Trois imprimantes différentes, souvent en panne, et des dépenses de cartouches non maîtrisées.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Deux multifonctions en location avec entretien et consommables gérés par SENTECH.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20  ·  FORMATIONS &amp; CERTIFICATIONS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Formations IT &amp; bureautique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Des équipes qui maîtrisent leurs outils.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rmation-it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Productivité accrue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Compétences certifiées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Équipes autonomes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www.sentechrdc.com/services/formation-it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collaborateurs utilisent une fraction des outils disponibles et perdent du temps sur des tâches répétitives.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Formations pratiques en présentiel à Kinshasa : bureautique, IA au bureau, réseaux, cybersécurité, sessions intra-entreprise.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Excel, Word, PowerPoint avancés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IA appliquée au travail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Réseaux et systèmes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Sessions intra-entreprise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Direction administrative d’une entreprise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rapports mensuels sont préparés manuellement pendant plusieurs jours.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Formation Excel avancé ciblée sur les rapports réels de l’équipe.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21  ·  FORMATIONS &amp; CERTIFICATIONS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Certifications PECB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Des certifications internationales ISO pour vos experts.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rmation-pecb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Expertise reconnue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Conformité renforcée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Crédibilité auprès des partenaires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www.sentechrdc.com/services/formation-pecb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Les exigences de conformité augmentent, mais peu de professionnels sont certifiés localement.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Préparation aux certifications PECB : ISO/IEC 27001, ISO 9001, gestion des risques, continuité d’activité et plus.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ISO/IEC 27001 Lead Implementer / Auditor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Management de la qualité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Gestion des risques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Préparation à l’examen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Banque préparant un audit de sécurité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Aucun collaborateur ne maîtrise la norme ISO 27001.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Formation et certification de l’équipe sécurité et conformité.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9468"/>
      </w:tblGrid>
      <w:tr>
        <w:trPr>
          <w:trHeight w:val="9751" w:hRule="atLeast"/>
        </w:trPr>
        <w:tc>
          <w:tcPr>
            <w:tcW w:type="dxa" w:w="5669"/>
            <w:shd w:val="clear" w:color="auto" w:fill="0B1F4B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80" w:before="0"/>
            </w:pPr>
            <w:r>
              <w:rPr>
                <w:b/>
                <w:color w:val="D9A41E"/>
                <w:sz w:val="17"/>
              </w:rPr>
              <w:t>22  ·  FORMATIONS &amp; CERTIFICATIONS</w:t>
            </w:r>
          </w:p>
          <w:p>
            <w:pPr>
              <w:spacing w:after="80" w:before="0"/>
            </w:pPr>
            <w:r>
              <w:rPr>
                <w:b/>
                <w:color w:val="FFFFFF"/>
                <w:sz w:val="44"/>
              </w:rPr>
              <w:t>Formation en gestion</w:t>
            </w:r>
          </w:p>
          <w:p>
            <w:pPr>
              <w:spacing w:after="160" w:before="0"/>
            </w:pPr>
            <w:r>
              <w:rPr>
                <w:b w:val="0"/>
                <w:color w:val="D9A41E"/>
                <w:sz w:val="25"/>
              </w:rPr>
              <w:t>Gérer mieux vos projets, vos équipes et vos finances.</w:t>
            </w:r>
          </w:p>
          <w:p>
            <w:r>
              <w:drawing>
                <wp:inline xmlns:a="http://schemas.openxmlformats.org/drawingml/2006/main" xmlns:pic="http://schemas.openxmlformats.org/drawingml/2006/picture">
                  <wp:extent cx="3311999" cy="138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rmation-gestion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1999" cy="13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/>
                <w:color w:val="D9A41E"/>
                <w:sz w:val="17"/>
              </w:rPr>
              <w:t>BÉNÉFICES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Méthodes communes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Projets mieux suivis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23"/>
              </w:rPr>
              <w:t>✓  Rapports de qualité</w:t>
            </w:r>
          </w:p>
          <w:p>
            <w:pPr>
              <w:spacing w:after="80" w:before="0"/>
            </w:pPr>
          </w:p>
          <w:p>
            <w:pPr>
              <w:spacing w:after="40" w:before="0"/>
            </w:pPr>
            <w:r>
              <w:rPr>
                <w:b w:val="0"/>
                <w:color w:val="FFFFFF"/>
                <w:sz w:val="16"/>
              </w:rPr>
              <w:t>www.sentechrdc.com/services/formation-gestion</w:t>
            </w:r>
          </w:p>
        </w:tc>
        <w:tc>
          <w:tcPr>
            <w:tcW w:type="dxa" w:w="9468"/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after="0"/>
            </w:pP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LE CONSTAT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Projets en retard, rapports bailleurs difficiles, gestion RH et comptable peu structurée.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NOTRE SOLUTION</w:t>
            </w:r>
          </w:p>
          <w:p>
            <w:pPr>
              <w:spacing w:after="60" w:before="0"/>
            </w:pPr>
            <w:r>
              <w:rPr>
                <w:b w:val="0"/>
                <w:color w:val="444C5C"/>
                <w:sz w:val="24"/>
              </w:rPr>
              <w:t>Formations en gestion de projet, comptabilité OHADA, ressources humaines et gestion des projets ONG.</w:t>
            </w:r>
          </w:p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CE QUE COMPREND LE SERVICE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734"/>
              <w:gridCol w:w="4734"/>
            </w:tblGrid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Gestion de projet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Comptabilité OHADA</w:t>
                  </w:r>
                </w:p>
              </w:tc>
            </w:tr>
            <w:tr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Ressources humaines</w:t>
                  </w:r>
                </w:p>
              </w:tc>
              <w:tc>
                <w:tcPr>
                  <w:tcW w:type="dxa" w:w="4734"/>
                </w:tcPr>
                <w:p>
                  <w:pPr>
                    <w:spacing w:after="40"/>
                  </w:pPr>
                  <w:r>
                    <w:rPr>
                      <w:color w:val="D9A41E"/>
                      <w:sz w:val="18"/>
                    </w:rPr>
                    <w:t xml:space="preserve">■ </w:t>
                  </w:r>
                  <w:r>
                    <w:rPr>
                      <w:color w:val="444C5C"/>
                      <w:sz w:val="22"/>
                    </w:rPr>
                    <w:t>Gestion de projets ONG</w:t>
                  </w:r>
                </w:p>
              </w:tc>
            </w:tr>
          </w:tbl>
          <w:p/>
          <w:p>
            <w:pPr>
              <w:spacing w:after="40" w:before="180"/>
            </w:pPr>
            <w:r>
              <w:rPr>
                <w:b/>
                <w:color w:val="0EA5C6"/>
                <w:sz w:val="19"/>
              </w:rPr>
              <w:t>CAS D’UTILISATION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468"/>
            </w:tblGrid>
            <w:tr>
              <w:tc>
                <w:tcPr>
                  <w:tcW w:type="dxa" w:w="9468"/>
                  <w:shd w:val="clear" w:color="auto" w:fill="EAF6FA"/>
                </w:tcPr>
                <w:p>
                  <w:pPr>
                    <w:spacing w:after="60" w:before="0"/>
                  </w:pPr>
                  <w:r>
                    <w:rPr>
                      <w:b/>
                      <w:color w:val="0B1F4B"/>
                      <w:sz w:val="24"/>
                    </w:rPr>
                    <w:t>ONG nationale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Situation : </w:t>
                  </w:r>
                  <w:r>
                    <w:rPr>
                      <w:color w:val="444C5C"/>
                      <w:sz w:val="23"/>
                    </w:rPr>
                    <w:t>Les chefs de projet n’ont pas d’outils communs de planification et de suivi.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color w:val="0B1F4B"/>
                      <w:sz w:val="23"/>
                    </w:rPr>
                    <w:t xml:space="preserve">Réponse SENTECH : </w:t>
                  </w:r>
                  <w:r>
                    <w:rPr>
                      <w:color w:val="444C5C"/>
                      <w:sz w:val="23"/>
                    </w:rPr>
                    <w:t>Formation commune en gestion de projet avec modèles réutilisables.</w:t>
                  </w:r>
                </w:p>
              </w:tc>
            </w:tr>
          </w:tbl>
          <w:p/>
          <w:p>
            <w:pPr>
              <w:spacing w:after="0" w:before="120"/>
            </w:pPr>
            <w:r>
              <w:rPr>
                <w:b/>
                <w:color w:val="0B1F4B"/>
                <w:sz w:val="22"/>
              </w:rPr>
              <w:t xml:space="preserve">Demander un devis : </w:t>
            </w:r>
            <w:r>
              <w:rPr>
                <w:color w:val="444C5C"/>
                <w:sz w:val="19"/>
              </w:rPr>
              <w:t>+243 82 222 33 73  ·  WhatsApp  ·  info@sentechrdc.com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138"/>
      </w:tblGrid>
      <w:tr>
        <w:tc>
          <w:tcPr>
            <w:tcW w:type="dxa" w:w="15137"/>
            <w:shd w:val="clear" w:color="auto" w:fill="0B1F4B"/>
          </w:tcPr>
          <w:p>
            <w:pPr>
              <w:spacing w:after="40" w:before="0"/>
            </w:pPr>
            <w:r>
              <w:rPr>
                <w:b/>
                <w:color w:val="FFFFFF"/>
                <w:sz w:val="44"/>
              </w:rPr>
              <w:t>Notre méthode</w:t>
            </w:r>
          </w:p>
          <w:p>
            <w:pPr>
              <w:spacing w:after="80" w:before="0"/>
            </w:pPr>
            <w:r>
              <w:rPr>
                <w:b w:val="0"/>
                <w:color w:val="D9A41E"/>
                <w:sz w:val="22"/>
              </w:rPr>
              <w:t>4 étapes, un seul interlocuteur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color="auto" w:fill="EAF6FA"/>
          </w:tcPr>
          <w:p>
            <w:pPr>
              <w:spacing w:after="40" w:before="0"/>
            </w:pPr>
            <w:r>
              <w:rPr>
                <w:b/>
                <w:color w:val="D9A41E"/>
                <w:sz w:val="56"/>
              </w:rPr>
              <w:t>01</w:t>
            </w:r>
          </w:p>
          <w:p>
            <w:pPr>
              <w:spacing w:after="80" w:before="0"/>
            </w:pPr>
            <w:r>
              <w:rPr>
                <w:b/>
                <w:color w:val="0B1F4B"/>
                <w:sz w:val="28"/>
              </w:rPr>
              <w:t>Audit</w:t>
            </w:r>
          </w:p>
          <w:p>
            <w:pPr>
              <w:spacing w:after="200" w:before="0"/>
            </w:pPr>
            <w:r>
              <w:rPr>
                <w:b w:val="0"/>
                <w:color w:val="444C5C"/>
                <w:sz w:val="21"/>
              </w:rPr>
              <w:t>Visite, écoute de vos besoins et diagnostic de l’existant.</w:t>
            </w:r>
          </w:p>
        </w:tc>
        <w:tc>
          <w:tcPr>
            <w:tcW w:type="dxa" w:w="3784"/>
            <w:shd w:val="clear" w:color="auto" w:fill="EAF6FA"/>
          </w:tcPr>
          <w:p>
            <w:pPr>
              <w:spacing w:after="40" w:before="0"/>
            </w:pPr>
            <w:r>
              <w:rPr>
                <w:b/>
                <w:color w:val="D9A41E"/>
                <w:sz w:val="56"/>
              </w:rPr>
              <w:t>02</w:t>
            </w:r>
          </w:p>
          <w:p>
            <w:pPr>
              <w:spacing w:after="80" w:before="0"/>
            </w:pPr>
            <w:r>
              <w:rPr>
                <w:b/>
                <w:color w:val="0B1F4B"/>
                <w:sz w:val="28"/>
              </w:rPr>
              <w:t>Proposition</w:t>
            </w:r>
          </w:p>
          <w:p>
            <w:pPr>
              <w:spacing w:after="200" w:before="0"/>
            </w:pPr>
            <w:r>
              <w:rPr>
                <w:b w:val="0"/>
                <w:color w:val="444C5C"/>
                <w:sz w:val="21"/>
              </w:rPr>
              <w:t>Solution adaptée, planning et devis détaillé.</w:t>
            </w:r>
          </w:p>
        </w:tc>
        <w:tc>
          <w:tcPr>
            <w:tcW w:type="dxa" w:w="3784"/>
            <w:shd w:val="clear" w:color="auto" w:fill="EAF6FA"/>
          </w:tcPr>
          <w:p>
            <w:pPr>
              <w:spacing w:after="40" w:before="0"/>
            </w:pPr>
            <w:r>
              <w:rPr>
                <w:b/>
                <w:color w:val="D9A41E"/>
                <w:sz w:val="56"/>
              </w:rPr>
              <w:t>03</w:t>
            </w:r>
          </w:p>
          <w:p>
            <w:pPr>
              <w:spacing w:after="80" w:before="0"/>
            </w:pPr>
            <w:r>
              <w:rPr>
                <w:b/>
                <w:color w:val="0B1F4B"/>
                <w:sz w:val="28"/>
              </w:rPr>
              <w:t>Déploiement</w:t>
            </w:r>
          </w:p>
          <w:p>
            <w:pPr>
              <w:spacing w:after="200" w:before="0"/>
            </w:pPr>
            <w:r>
              <w:rPr>
                <w:b w:val="0"/>
                <w:color w:val="444C5C"/>
                <w:sz w:val="21"/>
              </w:rPr>
              <w:t>Installation, paramétrage, tests et formation des utilisateurs.</w:t>
            </w:r>
          </w:p>
        </w:tc>
        <w:tc>
          <w:tcPr>
            <w:tcW w:type="dxa" w:w="3784"/>
            <w:shd w:val="clear" w:color="auto" w:fill="EAF6FA"/>
          </w:tcPr>
          <w:p>
            <w:pPr>
              <w:spacing w:after="40" w:before="0"/>
            </w:pPr>
            <w:r>
              <w:rPr>
                <w:b/>
                <w:color w:val="D9A41E"/>
                <w:sz w:val="56"/>
              </w:rPr>
              <w:t>04</w:t>
            </w:r>
          </w:p>
          <w:p>
            <w:pPr>
              <w:spacing w:after="80" w:before="0"/>
            </w:pPr>
            <w:r>
              <w:rPr>
                <w:b/>
                <w:color w:val="0B1F4B"/>
                <w:sz w:val="28"/>
              </w:rPr>
              <w:t>Suivi</w:t>
            </w:r>
          </w:p>
          <w:p>
            <w:pPr>
              <w:spacing w:after="200" w:before="0"/>
            </w:pPr>
            <w:r>
              <w:rPr>
                <w:b w:val="0"/>
                <w:color w:val="444C5C"/>
                <w:sz w:val="21"/>
              </w:rPr>
              <w:t>Maintenance, support et amélioration continue.</w:t>
            </w:r>
          </w:p>
        </w:tc>
      </w:tr>
    </w:tbl>
    <w:p>
      <w:pPr>
        <w:spacing w:after="80" w:before="0"/>
      </w:pPr>
    </w:p>
    <w:p>
      <w:pPr>
        <w:spacing w:after="120" w:before="0"/>
      </w:pPr>
      <w:r>
        <w:rPr>
          <w:b w:val="0"/>
          <w:color w:val="444C5C"/>
          <w:sz w:val="22"/>
        </w:rPr>
        <w:t>Chaque proposition est établie après écoute de vos besoins. Nous ne communiquons pas de prix génériques : chaque devis est adapté à votre organisation, à vos sites et à vos contraintes.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138"/>
      </w:tblGrid>
      <w:tr>
        <w:trPr>
          <w:trHeight w:val="9751" w:hRule="exact"/>
        </w:trPr>
        <w:tc>
          <w:tcPr>
            <w:tcW w:type="dxa" w:w="15138"/>
            <w:shd w:val="clear" w:color="auto" w:fill="0B1F4B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3461408" cy="72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sentec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1408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before="0"/>
            </w:pPr>
          </w:p>
          <w:p>
            <w:pPr>
              <w:spacing w:after="280" w:before="0"/>
            </w:pPr>
            <w:r>
              <w:rPr>
                <w:b/>
                <w:color w:val="FFFFFF"/>
                <w:sz w:val="64"/>
              </w:rPr>
              <w:t>Parlons de votre projet</w:t>
            </w:r>
          </w:p>
          <w:p>
            <w:pPr>
              <w:spacing w:after="120" w:before="0"/>
            </w:pPr>
            <w:r>
              <w:rPr>
                <w:b w:val="0"/>
                <w:color w:val="FFFFFF"/>
                <w:sz w:val="26"/>
              </w:rPr>
              <w:t>Téléphone : +243 82 222 33 73  ·  +243 84 059 94 49</w:t>
            </w:r>
          </w:p>
          <w:p>
            <w:pPr>
              <w:spacing w:after="120" w:before="0"/>
            </w:pPr>
            <w:r>
              <w:rPr>
                <w:b w:val="0"/>
                <w:color w:val="FFFFFF"/>
                <w:sz w:val="26"/>
              </w:rPr>
              <w:t>Email : info@sentechrdc.com</w:t>
            </w:r>
          </w:p>
          <w:p>
            <w:pPr>
              <w:spacing w:after="120" w:before="0"/>
            </w:pPr>
            <w:r>
              <w:rPr>
                <w:b w:val="0"/>
                <w:color w:val="FFFFFF"/>
                <w:sz w:val="26"/>
              </w:rPr>
              <w:t>Site web : www.sentechrdc.com</w:t>
            </w:r>
          </w:p>
          <w:p>
            <w:pPr>
              <w:spacing w:after="120" w:before="0"/>
            </w:pPr>
            <w:r>
              <w:rPr>
                <w:b w:val="0"/>
                <w:color w:val="FFFFFF"/>
                <w:sz w:val="26"/>
              </w:rPr>
              <w:t>Adresse : 22 Avenue Colonel Ebeya, Immeuble Pacha, 1er niveau (réf. Hôtel Memling), Gombe, Kinshasa</w:t>
            </w:r>
          </w:p>
          <w:p>
            <w:pPr>
              <w:spacing w:after="80" w:before="0"/>
            </w:pPr>
          </w:p>
          <w:p>
            <w:pPr>
              <w:spacing w:after="80" w:before="0"/>
            </w:pPr>
            <w:r>
              <w:rPr>
                <w:b/>
                <w:color w:val="D9A41E"/>
                <w:sz w:val="24"/>
              </w:rPr>
              <w:t>Junior SENGA — Directeur Général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850" w:bottom="680" w:left="850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44C5C"/>
        <w:sz w:val="16"/>
      </w:rPr>
      <w:t>SENTECH RDC  ·  +243 82 222 33 73  ·  info@sentechrdc.com  ·  www.sentechrdc.com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